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2240"/>
        <w:gridCol w:w="7542"/>
      </w:tblGrid>
      <w:tr w:rsidR="00FF7059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bookmarkStart w:id="0" w:name="_GoBack"/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  <w:bookmarkEnd w:id="0"/>
          </w:p>
        </w:tc>
      </w:tr>
      <w:tr w:rsidR="00892BE5" w:rsidTr="00F744E8">
        <w:tc>
          <w:tcPr>
            <w:tcW w:w="2240" w:type="dxa"/>
            <w:shd w:val="clear" w:color="auto" w:fill="EAF1DD" w:themeFill="accent3" w:themeFillTint="33"/>
            <w:vAlign w:val="center"/>
          </w:tcPr>
          <w:p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den / tilskudsprogra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m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met</w:t>
            </w:r>
          </w:p>
        </w:tc>
        <w:tc>
          <w:tcPr>
            <w:tcW w:w="7542" w:type="dxa"/>
            <w:tcBorders>
              <w:bottom w:val="single" w:sz="4" w:space="0" w:color="000000"/>
            </w:tcBorders>
            <w:vAlign w:val="center"/>
          </w:tcPr>
          <w:p w:rsidR="00F744E8" w:rsidRPr="005E5AE1" w:rsidRDefault="00F744E8" w:rsidP="00F744E8">
            <w:pPr>
              <w:pStyle w:val="Overskrift1"/>
              <w:shd w:val="clear" w:color="auto" w:fill="FFFFFF"/>
              <w:spacing w:after="150"/>
              <w:textAlignment w:val="baselin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Kulturpulje</w:t>
            </w:r>
            <w:proofErr w:type="spell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til</w:t>
            </w:r>
            <w:proofErr w:type="spell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projekter</w:t>
            </w:r>
            <w:proofErr w:type="spell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mellem</w:t>
            </w:r>
            <w:proofErr w:type="spell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Grø</w:t>
            </w:r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n</w:t>
            </w:r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land</w:t>
            </w:r>
            <w:proofErr w:type="spell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proofErr w:type="gramStart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>og</w:t>
            </w:r>
            <w:proofErr w:type="gramEnd"/>
            <w:r w:rsidRPr="005E5AE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Danmark</w:t>
            </w:r>
          </w:p>
          <w:p w:rsidR="00892BE5" w:rsidRPr="005E5AE1" w:rsidRDefault="00F744E8" w:rsidP="00F744E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 xml:space="preserve"> </w:t>
            </w:r>
          </w:p>
        </w:tc>
      </w:tr>
      <w:tr w:rsidR="00AF176D" w:rsidTr="00F744E8">
        <w:trPr>
          <w:trHeight w:val="547"/>
        </w:trPr>
        <w:tc>
          <w:tcPr>
            <w:tcW w:w="2240" w:type="dxa"/>
            <w:vMerge w:val="restart"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Hvilken type (privat, nationalt pr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o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gram, nordisk, eur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o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pæisk, andet?) </w:t>
            </w:r>
          </w:p>
          <w:p w:rsidR="004F258A" w:rsidRDefault="00AF176D" w:rsidP="00C96EB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(en pe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son, en institut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i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on, et ministeri</w:t>
            </w:r>
            <w:r w:rsidR="00C96EB8">
              <w:rPr>
                <w:b/>
                <w:bCs/>
                <w:sz w:val="20"/>
                <w:szCs w:val="20"/>
                <w:lang w:val="da-DK"/>
              </w:rPr>
              <w:t>um</w:t>
            </w:r>
            <w:proofErr w:type="gramEnd"/>
          </w:p>
          <w:p w:rsidR="00AF176D" w:rsidRPr="00FF7059" w:rsidRDefault="00AF176D" w:rsidP="00C96EB8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eller?)</w:t>
            </w:r>
          </w:p>
        </w:tc>
        <w:tc>
          <w:tcPr>
            <w:tcW w:w="7542" w:type="dxa"/>
            <w:tcBorders>
              <w:bottom w:val="dashed" w:sz="4" w:space="0" w:color="000000"/>
            </w:tcBorders>
            <w:vAlign w:val="center"/>
          </w:tcPr>
          <w:p w:rsidR="00AF176D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Cs/>
                <w:sz w:val="24"/>
                <w:szCs w:val="24"/>
                <w:lang w:val="da-DK"/>
              </w:rPr>
              <w:t>Dansk</w:t>
            </w:r>
          </w:p>
        </w:tc>
      </w:tr>
      <w:tr w:rsidR="00AF176D" w:rsidTr="00F744E8">
        <w:trPr>
          <w:trHeight w:val="547"/>
        </w:trPr>
        <w:tc>
          <w:tcPr>
            <w:tcW w:w="2240" w:type="dxa"/>
            <w:vMerge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7542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AF176D" w:rsidRPr="005E5AE1" w:rsidRDefault="007C568F" w:rsidP="007C568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Cs/>
                <w:sz w:val="24"/>
                <w:szCs w:val="24"/>
                <w:lang w:val="da-DK"/>
              </w:rPr>
              <w:t>Slots – og kulturstyrelsen, Kulturministeriet</w:t>
            </w:r>
            <w:r w:rsidR="005E5AE1">
              <w:rPr>
                <w:rFonts w:asciiTheme="minorHAnsi" w:hAnsiTheme="minorHAnsi" w:cstheme="minorHAnsi"/>
                <w:bCs/>
                <w:sz w:val="24"/>
                <w:szCs w:val="24"/>
                <w:lang w:val="da-DK"/>
              </w:rPr>
              <w:t>, DK</w:t>
            </w:r>
          </w:p>
        </w:tc>
      </w:tr>
      <w:tr w:rsidR="00AF176D" w:rsidTr="00F744E8">
        <w:trPr>
          <w:trHeight w:val="612"/>
        </w:trPr>
        <w:tc>
          <w:tcPr>
            <w:tcW w:w="2240" w:type="dxa"/>
            <w:vMerge w:val="restart"/>
            <w:shd w:val="clear" w:color="auto" w:fill="EAF1DD" w:themeFill="accent3" w:themeFillTint="33"/>
            <w:vAlign w:val="center"/>
          </w:tcPr>
          <w:p w:rsid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Fondens hjemm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e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side </w:t>
            </w:r>
          </w:p>
          <w:p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:rsidR="00AF176D" w:rsidRPr="00AF176D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7542" w:type="dxa"/>
            <w:tcBorders>
              <w:bottom w:val="dashed" w:sz="4" w:space="0" w:color="000000"/>
            </w:tcBorders>
            <w:vAlign w:val="center"/>
          </w:tcPr>
          <w:p w:rsidR="00AF176D" w:rsidRPr="005E5AE1" w:rsidRDefault="005E5AE1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hyperlink r:id="rId9" w:history="1">
              <w:r w:rsidRPr="005E5AE1">
                <w:rPr>
                  <w:rStyle w:val="Hyperlink"/>
                  <w:rFonts w:asciiTheme="minorHAnsi" w:hAnsiTheme="minorHAnsi" w:cstheme="minorHAnsi"/>
                  <w:color w:val="auto"/>
                  <w:sz w:val="24"/>
                  <w:szCs w:val="24"/>
                </w:rPr>
                <w:t>www.slks.dk</w:t>
              </w:r>
            </w:hyperlink>
            <w:r w:rsidRPr="005E5A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F176D" w:rsidTr="00F744E8">
        <w:trPr>
          <w:trHeight w:val="564"/>
        </w:trPr>
        <w:tc>
          <w:tcPr>
            <w:tcW w:w="2240" w:type="dxa"/>
            <w:vMerge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7542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:rsidR="00AF176D" w:rsidRPr="005E5AE1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</w:tc>
      </w:tr>
      <w:tr w:rsidR="00AF176D" w:rsidTr="00F744E8">
        <w:trPr>
          <w:trHeight w:val="583"/>
        </w:trPr>
        <w:tc>
          <w:tcPr>
            <w:tcW w:w="2240" w:type="dxa"/>
            <w:vMerge w:val="restart"/>
            <w:shd w:val="clear" w:color="auto" w:fill="EAF1DD" w:themeFill="accent3" w:themeFillTint="33"/>
            <w:vAlign w:val="center"/>
          </w:tcPr>
          <w:p w:rsidR="00AF176D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7542" w:type="dxa"/>
            <w:tcBorders>
              <w:bottom w:val="dashed" w:sz="4" w:space="0" w:color="000000"/>
            </w:tcBorders>
            <w:vAlign w:val="center"/>
          </w:tcPr>
          <w:p w:rsidR="00AF176D" w:rsidRPr="005E5AE1" w:rsidRDefault="005E5AE1" w:rsidP="00137922">
            <w:pPr>
              <w:pStyle w:val="Overskrift3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da-DK"/>
              </w:rPr>
            </w:pP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Puljens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formål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er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at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fremme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gram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og</w:t>
            </w:r>
            <w:proofErr w:type="gram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understøtte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den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gensidige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fo</w:t>
            </w:r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r</w:t>
            </w:r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ståelse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mellem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Grønland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og Danmark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gennem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kulturprojekter</w:t>
            </w:r>
            <w:proofErr w:type="spellEnd"/>
            <w:r w:rsidRPr="005E5AE1">
              <w:rPr>
                <w:b w:val="0"/>
                <w:color w:val="2B2B2A"/>
                <w:sz w:val="23"/>
                <w:szCs w:val="23"/>
                <w:shd w:val="clear" w:color="auto" w:fill="EEECE7"/>
              </w:rPr>
              <w:t>.</w:t>
            </w:r>
          </w:p>
        </w:tc>
      </w:tr>
      <w:tr w:rsidR="00AF176D" w:rsidTr="00F744E8">
        <w:trPr>
          <w:trHeight w:val="494"/>
        </w:trPr>
        <w:tc>
          <w:tcPr>
            <w:tcW w:w="2240" w:type="dxa"/>
            <w:vMerge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7542" w:type="dxa"/>
            <w:tcBorders>
              <w:top w:val="dashed" w:sz="4" w:space="0" w:color="000000"/>
            </w:tcBorders>
            <w:vAlign w:val="center"/>
          </w:tcPr>
          <w:p w:rsidR="00AF176D" w:rsidRPr="005E5AE1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</w:tc>
      </w:tr>
      <w:tr w:rsidR="00892BE5" w:rsidTr="005E5AE1">
        <w:trPr>
          <w:trHeight w:val="1412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Hvilke type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aktivit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e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ter støttes</w:t>
            </w:r>
          </w:p>
          <w:p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75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2BE5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Kulturprojekter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der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arbejder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for at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fremme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den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gensidige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forståelse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på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tværs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af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Grønland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og Danmark.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Puljen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opererer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med et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bredere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defineret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kulturbegreb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der,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ud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over de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klassiske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kunstarter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inkluderer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sprog,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ma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d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kultur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fællesskab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cirkus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kulturarv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m.m.</w:t>
            </w:r>
            <w:proofErr w:type="spellEnd"/>
            <w:r w:rsidRPr="005E5AE1">
              <w:rPr>
                <w:rFonts w:cs="Calibri"/>
                <w:b/>
                <w:bCs/>
                <w:sz w:val="24"/>
                <w:szCs w:val="24"/>
                <w:lang w:val="da-DK"/>
              </w:rPr>
              <w:t xml:space="preserve"> </w:t>
            </w:r>
          </w:p>
        </w:tc>
      </w:tr>
      <w:tr w:rsidR="00AF176D" w:rsidTr="005E5AE1">
        <w:trPr>
          <w:trHeight w:val="554"/>
        </w:trPr>
        <w:tc>
          <w:tcPr>
            <w:tcW w:w="2240" w:type="dxa"/>
            <w:vMerge w:val="restart"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:rsidR="00AF176D" w:rsidRPr="00FF7059" w:rsidRDefault="00AF176D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24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7542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AF176D" w:rsidRPr="005E5AE1" w:rsidRDefault="00F744E8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Norla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Sverige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Kulturrådet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Finland: Fili Island: Icelandic Literature Centre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Færøerne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Farlit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5AE1">
              <w:rPr>
                <w:rStyle w:val="Strk"/>
                <w:rFonts w:cs="Calibr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Grønland</w:t>
            </w:r>
            <w:proofErr w:type="spellEnd"/>
            <w:r w:rsidRPr="005E5AE1">
              <w:rPr>
                <w:rFonts w:cs="Calibri"/>
                <w:b/>
                <w:sz w:val="24"/>
                <w:szCs w:val="24"/>
                <w:shd w:val="clear" w:color="auto" w:fill="FFFFFF"/>
              </w:rPr>
              <w:t>: </w:t>
            </w:r>
            <w:proofErr w:type="spellStart"/>
            <w:r w:rsidRPr="005E5AE1">
              <w:rPr>
                <w:rStyle w:val="Strk"/>
                <w:rFonts w:cs="Calibri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Grønlands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Forfatterforening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Sameland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Samisk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KunstnerrådDer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kan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søges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om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hel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eller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delvis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dækning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a</w:t>
            </w:r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f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nordiske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ove</w:t>
            </w:r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r</w:t>
            </w:r>
            <w:r w:rsidRPr="005E5AE1">
              <w:rPr>
                <w:rFonts w:cs="Calibri"/>
                <w:sz w:val="24"/>
                <w:szCs w:val="24"/>
                <w:shd w:val="clear" w:color="auto" w:fill="FFFFFF"/>
              </w:rPr>
              <w:t>sættelser</w:t>
            </w:r>
            <w:proofErr w:type="spellEnd"/>
            <w:r w:rsidR="005E5AE1">
              <w:rPr>
                <w:rFonts w:cs="Calibr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F176D" w:rsidTr="005E5AE1">
        <w:trPr>
          <w:trHeight w:val="548"/>
        </w:trPr>
        <w:tc>
          <w:tcPr>
            <w:tcW w:w="2240" w:type="dxa"/>
            <w:vMerge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754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F176D" w:rsidRPr="005E5AE1" w:rsidRDefault="005E5AE1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/>
                <w:bCs/>
                <w:sz w:val="24"/>
                <w:szCs w:val="24"/>
                <w:lang w:val="da-DK"/>
              </w:rPr>
            </w:pPr>
            <w:r>
              <w:rPr>
                <w:rFonts w:cs="Calibri"/>
                <w:sz w:val="24"/>
                <w:szCs w:val="24"/>
                <w:shd w:val="clear" w:color="auto" w:fill="EEECE7"/>
              </w:rPr>
              <w:t>E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t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partnerskab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bestående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af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minimum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én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dansk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og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én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grønlandsk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a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k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tør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.</w:t>
            </w:r>
          </w:p>
        </w:tc>
      </w:tr>
      <w:tr w:rsidR="00AF176D" w:rsidTr="005E5AE1">
        <w:trPr>
          <w:trHeight w:val="570"/>
        </w:trPr>
        <w:tc>
          <w:tcPr>
            <w:tcW w:w="2240" w:type="dxa"/>
            <w:vMerge/>
            <w:shd w:val="clear" w:color="auto" w:fill="EAF1DD" w:themeFill="accent3" w:themeFillTint="33"/>
            <w:vAlign w:val="center"/>
          </w:tcPr>
          <w:p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7542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F176D" w:rsidRPr="005E5AE1" w:rsidRDefault="005E5AE1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/>
                <w:bCs/>
                <w:sz w:val="24"/>
                <w:szCs w:val="24"/>
                <w:lang w:val="da-DK"/>
              </w:rPr>
            </w:pPr>
            <w:r>
              <w:rPr>
                <w:rFonts w:cs="Calibri"/>
                <w:sz w:val="24"/>
                <w:szCs w:val="24"/>
                <w:shd w:val="clear" w:color="auto" w:fill="EEECE7"/>
              </w:rPr>
              <w:t>E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t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partnerskab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bestående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af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minimum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én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dansk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og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én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grønlandsk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a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k</w:t>
            </w:r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tør</w:t>
            </w:r>
            <w:proofErr w:type="spellEnd"/>
            <w:r w:rsidR="00137922" w:rsidRPr="005E5AE1">
              <w:rPr>
                <w:rFonts w:cs="Calibri"/>
                <w:sz w:val="24"/>
                <w:szCs w:val="24"/>
                <w:shd w:val="clear" w:color="auto" w:fill="EEECE7"/>
              </w:rPr>
              <w:t>.</w:t>
            </w:r>
          </w:p>
        </w:tc>
      </w:tr>
      <w:tr w:rsidR="00B83F82" w:rsidTr="005E5AE1">
        <w:trPr>
          <w:trHeight w:val="706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</w:t>
            </w:r>
            <w:r>
              <w:rPr>
                <w:b/>
                <w:bCs/>
                <w:sz w:val="20"/>
                <w:szCs w:val="20"/>
                <w:lang w:val="da-DK"/>
              </w:rPr>
              <w:t>i</w:t>
            </w:r>
            <w:r>
              <w:rPr>
                <w:b/>
                <w:bCs/>
                <w:sz w:val="20"/>
                <w:szCs w:val="20"/>
                <w:lang w:val="da-DK"/>
              </w:rPr>
              <w:t>sati</w:t>
            </w:r>
            <w:r>
              <w:rPr>
                <w:b/>
                <w:bCs/>
                <w:sz w:val="20"/>
                <w:szCs w:val="20"/>
                <w:lang w:val="da-DK"/>
              </w:rPr>
              <w:t>o</w:t>
            </w:r>
            <w:r>
              <w:rPr>
                <w:b/>
                <w:bCs/>
                <w:sz w:val="20"/>
                <w:szCs w:val="20"/>
                <w:lang w:val="da-DK"/>
              </w:rPr>
              <w:t>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83F82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Cs/>
                <w:sz w:val="24"/>
                <w:szCs w:val="24"/>
                <w:lang w:val="da-DK"/>
              </w:rPr>
            </w:pPr>
            <w:r w:rsidRPr="005E5AE1">
              <w:rPr>
                <w:rFonts w:cs="Calibri"/>
                <w:bCs/>
                <w:sz w:val="24"/>
                <w:szCs w:val="24"/>
                <w:lang w:val="da-DK"/>
              </w:rPr>
              <w:t>En partner fra 2 lande</w:t>
            </w:r>
          </w:p>
        </w:tc>
      </w:tr>
      <w:tr w:rsidR="00C0435B" w:rsidTr="005E5AE1">
        <w:trPr>
          <w:trHeight w:val="546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C0435B" w:rsidRPr="00FF705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C0435B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Cs/>
                <w:sz w:val="24"/>
                <w:szCs w:val="24"/>
                <w:lang w:val="da-DK"/>
              </w:rPr>
            </w:pPr>
            <w:r w:rsidRPr="005E5AE1">
              <w:rPr>
                <w:rFonts w:cs="Calibri"/>
                <w:bCs/>
                <w:sz w:val="24"/>
                <w:szCs w:val="24"/>
                <w:lang w:val="da-DK"/>
              </w:rPr>
              <w:t>3 år</w:t>
            </w:r>
          </w:p>
        </w:tc>
      </w:tr>
      <w:tr w:rsidR="00C0435B" w:rsidTr="005E5AE1">
        <w:trPr>
          <w:trHeight w:val="619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Støttebeløb per ansø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g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ning, </w:t>
            </w:r>
          </w:p>
          <w:p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C0435B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Cs/>
                <w:sz w:val="24"/>
                <w:szCs w:val="24"/>
                <w:lang w:val="da-DK"/>
              </w:rPr>
            </w:pPr>
            <w:r w:rsidRPr="005E5AE1">
              <w:rPr>
                <w:rFonts w:cs="Calibri"/>
                <w:bCs/>
                <w:sz w:val="24"/>
                <w:szCs w:val="24"/>
                <w:lang w:val="da-DK"/>
              </w:rPr>
              <w:t>Angives ikke.</w:t>
            </w:r>
          </w:p>
          <w:p w:rsidR="00137922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cs="Calibri"/>
                <w:bCs/>
                <w:sz w:val="24"/>
                <w:szCs w:val="24"/>
                <w:lang w:val="da-DK"/>
              </w:rPr>
            </w:pP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Slots- og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Kulturstyrelsen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ser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positivt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på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egenfinansiering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og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medfinans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i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ering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fra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andre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kilder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, da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puljen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ikke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nødvendigvis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kan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fuldfinansiere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pr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o</w:t>
            </w:r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jekter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. </w:t>
            </w:r>
            <w:r w:rsidRPr="005E5AE1">
              <w:rPr>
                <w:rFonts w:cs="Calibri"/>
                <w:sz w:val="24"/>
                <w:szCs w:val="24"/>
              </w:rPr>
              <w:br/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Puljen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er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på 970.000. </w:t>
            </w:r>
            <w:proofErr w:type="gram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kr</w:t>
            </w:r>
            <w:proofErr w:type="gram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.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årligt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i </w:t>
            </w:r>
            <w:proofErr w:type="spellStart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>perioden</w:t>
            </w:r>
            <w:proofErr w:type="spellEnd"/>
            <w:r w:rsidRPr="005E5AE1">
              <w:rPr>
                <w:rFonts w:cs="Calibri"/>
                <w:sz w:val="24"/>
                <w:szCs w:val="24"/>
                <w:shd w:val="clear" w:color="auto" w:fill="EEECE7"/>
              </w:rPr>
              <w:t xml:space="preserve"> 2023-2026.</w:t>
            </w:r>
          </w:p>
        </w:tc>
      </w:tr>
      <w:tr w:rsidR="00B83F82" w:rsidTr="00F744E8">
        <w:trPr>
          <w:trHeight w:val="898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Kriterier for en god ansø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g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ning</w:t>
            </w:r>
          </w:p>
        </w:tc>
        <w:tc>
          <w:tcPr>
            <w:tcW w:w="7542" w:type="dxa"/>
            <w:vAlign w:val="center"/>
          </w:tcPr>
          <w:p w:rsidR="00B83F82" w:rsidRDefault="00B83F82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  <w:p w:rsidR="005E5AE1" w:rsidRDefault="005E5AE1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  <w:p w:rsidR="005E5AE1" w:rsidRDefault="005E5AE1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  <w:p w:rsidR="005E5AE1" w:rsidRDefault="005E5AE1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  <w:p w:rsidR="005E5AE1" w:rsidRPr="005E5AE1" w:rsidRDefault="005E5AE1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</w:tc>
      </w:tr>
      <w:tr w:rsidR="00FF7059" w:rsidTr="00F744E8">
        <w:tc>
          <w:tcPr>
            <w:tcW w:w="2240" w:type="dxa"/>
            <w:shd w:val="clear" w:color="auto" w:fill="EAF1DD" w:themeFill="accent3" w:themeFillTint="33"/>
            <w:vAlign w:val="center"/>
          </w:tcPr>
          <w:p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Hvor krævende er a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søgni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n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gen? </w:t>
            </w:r>
          </w:p>
          <w:p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den omfattende og ko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m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pliceret med krav om flere bilag m.m. </w:t>
            </w:r>
          </w:p>
        </w:tc>
        <w:tc>
          <w:tcPr>
            <w:tcW w:w="7542" w:type="dxa"/>
            <w:vAlign w:val="center"/>
          </w:tcPr>
          <w:p w:rsidR="00FF7059" w:rsidRPr="005E5AE1" w:rsidRDefault="00137922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>-</w:t>
            </w:r>
          </w:p>
        </w:tc>
      </w:tr>
      <w:tr w:rsidR="00FF7059" w:rsidTr="00F744E8">
        <w:trPr>
          <w:trHeight w:val="774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r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tere tilsku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d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det?</w:t>
            </w:r>
          </w:p>
        </w:tc>
        <w:tc>
          <w:tcPr>
            <w:tcW w:w="7542" w:type="dxa"/>
            <w:vAlign w:val="center"/>
          </w:tcPr>
          <w:p w:rsidR="00FF7059" w:rsidRPr="005E5AE1" w:rsidRDefault="0013792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>-</w:t>
            </w:r>
          </w:p>
        </w:tc>
      </w:tr>
      <w:tr w:rsidR="00B83F82" w:rsidTr="00F744E8">
        <w:trPr>
          <w:trHeight w:val="559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7542" w:type="dxa"/>
            <w:vAlign w:val="center"/>
          </w:tcPr>
          <w:p w:rsidR="00B83F82" w:rsidRPr="005E5AE1" w:rsidRDefault="005E5AE1" w:rsidP="005E5AE1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>Fra 2024. e</w:t>
            </w:r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n </w:t>
            </w:r>
            <w:proofErr w:type="spellStart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forårs</w:t>
            </w:r>
            <w:proofErr w:type="spellEnd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- og </w:t>
            </w:r>
            <w:proofErr w:type="spellStart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ef</w:t>
            </w:r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t</w:t>
            </w:r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erårsfrist</w:t>
            </w:r>
            <w:proofErr w:type="spellEnd"/>
            <w:r w:rsidRPr="005E5AE1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F7059" w:rsidTr="00F744E8">
        <w:trPr>
          <w:trHeight w:val="823"/>
        </w:trPr>
        <w:tc>
          <w:tcPr>
            <w:tcW w:w="2240" w:type="dxa"/>
            <w:shd w:val="clear" w:color="auto" w:fill="EAF1DD" w:themeFill="accent3" w:themeFillTint="33"/>
            <w:vAlign w:val="center"/>
          </w:tcPr>
          <w:p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</w:t>
            </w: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>
              <w:rPr>
                <w:b/>
                <w:bCs/>
                <w:sz w:val="20"/>
                <w:szCs w:val="20"/>
                <w:lang w:val="da-DK"/>
              </w:rPr>
              <w:t>taktes?</w:t>
            </w:r>
          </w:p>
          <w:p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7542" w:type="dxa"/>
          </w:tcPr>
          <w:p w:rsidR="00FF7059" w:rsidRPr="005E5AE1" w:rsidRDefault="005E5AE1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5E5A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  <w:t>JA</w:t>
            </w:r>
          </w:p>
          <w:p w:rsidR="00BF16AE" w:rsidRPr="005E5AE1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  <w:p w:rsidR="00BF16AE" w:rsidRPr="005E5AE1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</w:p>
        </w:tc>
      </w:tr>
    </w:tbl>
    <w:p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AF176D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8C" w:rsidRDefault="009D018C" w:rsidP="00095A4D">
      <w:r>
        <w:separator/>
      </w:r>
    </w:p>
  </w:endnote>
  <w:endnote w:type="continuationSeparator" w:id="0">
    <w:p w:rsidR="009D018C" w:rsidRDefault="009D018C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8C" w:rsidRDefault="009D018C" w:rsidP="00095A4D">
      <w:r>
        <w:separator/>
      </w:r>
    </w:p>
  </w:footnote>
  <w:footnote w:type="continuationSeparator" w:id="0">
    <w:p w:rsidR="009D018C" w:rsidRDefault="009D018C" w:rsidP="00095A4D">
      <w:r>
        <w:continuationSeparator/>
      </w:r>
    </w:p>
  </w:footnote>
  <w:footnote w:id="1">
    <w:p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8E" w:rsidRDefault="009D018C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5AE1">
      <w:rPr>
        <w:noProof/>
      </w:rPr>
      <w:t>2</w:t>
    </w:r>
    <w:r>
      <w:rPr>
        <w:noProof/>
      </w:rPr>
      <w:fldChar w:fldCharType="end"/>
    </w:r>
  </w:p>
  <w:p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1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7" type="#_x0000_t75" style="width:11.9pt;height:11.9pt" o:bullet="t">
        <v:imagedata r:id="rId1" o:title="bullet"/>
      </v:shape>
    </w:pict>
  </w:numPicBullet>
  <w:numPicBullet w:numPicBulletId="1">
    <w:pict>
      <v:shape id="_x0000_i1528" type="#_x0000_t75" style="width:3in;height:3in" o:bullet="t"/>
    </w:pict>
  </w:numPicBullet>
  <w:numPicBullet w:numPicBulletId="2">
    <w:pict>
      <v:shape id="_x0000_i1529" type="#_x0000_t75" style="width:3in;height:3in" o:bullet="t"/>
    </w:pict>
  </w:numPicBullet>
  <w:numPicBullet w:numPicBulletId="3">
    <w:pict>
      <v:shape id="_x0000_i1530" type="#_x0000_t75" style="width:3in;height:3in" o:bullet="t"/>
    </w:pict>
  </w:numPicBullet>
  <w:numPicBullet w:numPicBulletId="4">
    <w:pict>
      <v:shape id="_x0000_i1531" type="#_x0000_t75" style="width:3in;height:3in" o:bullet="t"/>
    </w:pict>
  </w:numPicBullet>
  <w:numPicBullet w:numPicBulletId="5">
    <w:pict>
      <v:shape id="_x0000_i1532" type="#_x0000_t75" style="width:3in;height:3in" o:bullet="t"/>
    </w:pict>
  </w:numPicBullet>
  <w:numPicBullet w:numPicBulletId="6">
    <w:pict>
      <v:shape id="_x0000_i1533" type="#_x0000_t75" style="width:3in;height:3in" o:bullet="t"/>
    </w:pict>
  </w:numPicBullet>
  <w:abstractNum w:abstractNumId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21C26"/>
    <w:multiLevelType w:val="hybridMultilevel"/>
    <w:tmpl w:val="4A7E3A88"/>
    <w:lvl w:ilvl="0" w:tplc="E4FAEF70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9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20"/>
  </w:num>
  <w:num w:numId="14">
    <w:abstractNumId w:val="18"/>
  </w:num>
  <w:num w:numId="15">
    <w:abstractNumId w:val="9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4"/>
  </w:num>
  <w:num w:numId="21">
    <w:abstractNumId w:val="15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37922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340"/>
    <w:rsid w:val="00222956"/>
    <w:rsid w:val="002229BA"/>
    <w:rsid w:val="002257B0"/>
    <w:rsid w:val="00227542"/>
    <w:rsid w:val="00231CBD"/>
    <w:rsid w:val="00235E1D"/>
    <w:rsid w:val="002365F6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392E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4F258A"/>
    <w:rsid w:val="005011DE"/>
    <w:rsid w:val="005037CD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5AE1"/>
    <w:rsid w:val="005E6DE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2927"/>
    <w:rsid w:val="00712982"/>
    <w:rsid w:val="007175E8"/>
    <w:rsid w:val="00717F72"/>
    <w:rsid w:val="007224CC"/>
    <w:rsid w:val="00726D0B"/>
    <w:rsid w:val="0073668E"/>
    <w:rsid w:val="00737E36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C146C"/>
    <w:rsid w:val="007C1E55"/>
    <w:rsid w:val="007C568F"/>
    <w:rsid w:val="007D244F"/>
    <w:rsid w:val="007D63B9"/>
    <w:rsid w:val="007E2030"/>
    <w:rsid w:val="007E6987"/>
    <w:rsid w:val="007E7061"/>
    <w:rsid w:val="007F1BEF"/>
    <w:rsid w:val="007F3F49"/>
    <w:rsid w:val="007F48E1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18C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96EB8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2540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44E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0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3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lks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33A5-1CED-4571-81B1-81919DE1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>Hewlett-Packard Company</Company>
  <LinksUpToDate>false</LinksUpToDate>
  <CharactersWithSpaces>2034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KSD</cp:lastModifiedBy>
  <cp:revision>2</cp:revision>
  <cp:lastPrinted>2013-10-30T11:01:00Z</cp:lastPrinted>
  <dcterms:created xsi:type="dcterms:W3CDTF">2023-11-26T18:35:00Z</dcterms:created>
  <dcterms:modified xsi:type="dcterms:W3CDTF">2023-11-26T18:35:00Z</dcterms:modified>
</cp:coreProperties>
</file>